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00F4" w:rsidRDefault="004A2D5B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Five Core Propositions Jigsaw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6905625</wp:posOffset>
            </wp:positionH>
            <wp:positionV relativeFrom="paragraph">
              <wp:posOffset>0</wp:posOffset>
            </wp:positionV>
            <wp:extent cx="985221" cy="597291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221" cy="597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00F4" w:rsidRDefault="004A2D5B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</w:rPr>
        <w:t xml:space="preserve">Use this handout to take notes during the </w:t>
      </w:r>
      <w:r>
        <w:rPr>
          <w:rFonts w:ascii="Calibri" w:eastAsia="Calibri" w:hAnsi="Calibri" w:cs="Calibri"/>
          <w:i/>
        </w:rPr>
        <w:t>What Teachers Should Know and Be Able to D</w:t>
      </w:r>
      <w:bookmarkStart w:id="0" w:name="_GoBack"/>
      <w:bookmarkEnd w:id="0"/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</w:rPr>
        <w:t>book jigsaw presentations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</w:rPr>
        <w:tab/>
      </w:r>
    </w:p>
    <w:p w:rsidR="000500F4" w:rsidRDefault="000500F4">
      <w:pPr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0"/>
        <w:gridCol w:w="10000"/>
      </w:tblGrid>
      <w:tr w:rsidR="000500F4">
        <w:tc>
          <w:tcPr>
            <w:tcW w:w="29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4A2D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Propositions</w:t>
            </w:r>
          </w:p>
        </w:tc>
        <w:tc>
          <w:tcPr>
            <w:tcW w:w="100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4A2D5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Notes</w:t>
            </w:r>
          </w:p>
        </w:tc>
      </w:tr>
      <w:tr w:rsidR="000500F4">
        <w:trPr>
          <w:trHeight w:val="680"/>
        </w:trPr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4A2D5B">
            <w:pPr>
              <w:widowControl w:val="0"/>
              <w:rPr>
                <w:rFonts w:ascii="Calibri" w:eastAsia="Calibri" w:hAnsi="Calibri" w:cs="Calibri"/>
                <w:color w:val="444444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1"/>
                <w:szCs w:val="21"/>
                <w:highlight w:val="white"/>
              </w:rPr>
              <w:t xml:space="preserve">Proposition 1: </w:t>
            </w:r>
            <w:r>
              <w:rPr>
                <w:rFonts w:ascii="Calibri" w:eastAsia="Calibri" w:hAnsi="Calibri" w:cs="Calibri"/>
                <w:color w:val="444444"/>
                <w:sz w:val="21"/>
                <w:szCs w:val="21"/>
                <w:highlight w:val="white"/>
              </w:rPr>
              <w:t>Teachers are committed to students and their learning</w:t>
            </w:r>
            <w:r>
              <w:rPr>
                <w:rFonts w:ascii="Calibri" w:eastAsia="Calibri" w:hAnsi="Calibri" w:cs="Calibri"/>
                <w:color w:val="444444"/>
                <w:sz w:val="21"/>
                <w:szCs w:val="21"/>
              </w:rPr>
              <w:t>.</w:t>
            </w:r>
          </w:p>
          <w:p w:rsidR="000500F4" w:rsidRDefault="000500F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0500F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500F4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4A2D5B">
            <w:pPr>
              <w:widowControl w:val="0"/>
              <w:rPr>
                <w:rFonts w:ascii="Calibri" w:eastAsia="Calibri" w:hAnsi="Calibri" w:cs="Calibri"/>
                <w:color w:val="44444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1"/>
                <w:szCs w:val="21"/>
                <w:highlight w:val="white"/>
              </w:rPr>
              <w:t xml:space="preserve">Proposition 2: </w:t>
            </w:r>
            <w:r>
              <w:rPr>
                <w:rFonts w:ascii="Calibri" w:eastAsia="Calibri" w:hAnsi="Calibri" w:cs="Calibri"/>
                <w:color w:val="444444"/>
                <w:sz w:val="21"/>
                <w:szCs w:val="21"/>
                <w:highlight w:val="white"/>
              </w:rPr>
              <w:t>Teachers know the subjects they teach and how to teach those subjects to students.</w:t>
            </w:r>
          </w:p>
          <w:p w:rsidR="000500F4" w:rsidRDefault="000500F4">
            <w:pPr>
              <w:widowControl w:val="0"/>
              <w:rPr>
                <w:rFonts w:ascii="Calibri" w:eastAsia="Calibri" w:hAnsi="Calibri" w:cs="Calibri"/>
                <w:b/>
                <w:color w:val="444444"/>
                <w:sz w:val="21"/>
                <w:szCs w:val="21"/>
                <w:highlight w:val="white"/>
              </w:rPr>
            </w:pPr>
          </w:p>
        </w:tc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0500F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500F4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4A2D5B">
            <w:pPr>
              <w:widowControl w:val="0"/>
              <w:rPr>
                <w:rFonts w:ascii="Calibri" w:eastAsia="Calibri" w:hAnsi="Calibri" w:cs="Calibri"/>
                <w:color w:val="44444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1"/>
                <w:szCs w:val="21"/>
                <w:highlight w:val="white"/>
              </w:rPr>
              <w:t>Proposition 3:</w:t>
            </w:r>
            <w:r>
              <w:rPr>
                <w:rFonts w:ascii="Calibri" w:eastAsia="Calibri" w:hAnsi="Calibri" w:cs="Calibri"/>
                <w:color w:val="444444"/>
                <w:sz w:val="21"/>
                <w:szCs w:val="21"/>
                <w:highlight w:val="white"/>
              </w:rPr>
              <w:t xml:space="preserve"> Teachers are responsible for managing and monitoring student learning.</w:t>
            </w:r>
          </w:p>
          <w:p w:rsidR="000500F4" w:rsidRDefault="000500F4">
            <w:pPr>
              <w:widowControl w:val="0"/>
              <w:rPr>
                <w:rFonts w:ascii="Calibri" w:eastAsia="Calibri" w:hAnsi="Calibri" w:cs="Calibri"/>
                <w:b/>
                <w:color w:val="444444"/>
                <w:sz w:val="21"/>
                <w:szCs w:val="21"/>
                <w:highlight w:val="white"/>
              </w:rPr>
            </w:pPr>
          </w:p>
        </w:tc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0500F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500F4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4A2D5B">
            <w:pPr>
              <w:widowControl w:val="0"/>
              <w:rPr>
                <w:rFonts w:ascii="Calibri" w:eastAsia="Calibri" w:hAnsi="Calibri" w:cs="Calibri"/>
                <w:color w:val="44444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1"/>
                <w:szCs w:val="21"/>
                <w:highlight w:val="white"/>
              </w:rPr>
              <w:t>Proposition 4:</w:t>
            </w:r>
            <w:r>
              <w:rPr>
                <w:rFonts w:ascii="Calibri" w:eastAsia="Calibri" w:hAnsi="Calibri" w:cs="Calibri"/>
                <w:color w:val="444444"/>
                <w:sz w:val="21"/>
                <w:szCs w:val="21"/>
                <w:highlight w:val="white"/>
              </w:rPr>
              <w:t xml:space="preserve"> Teachers think systematically about their practice and learn from </w:t>
            </w:r>
            <w:r>
              <w:rPr>
                <w:rFonts w:ascii="Calibri" w:eastAsia="Calibri" w:hAnsi="Calibri" w:cs="Calibri"/>
                <w:color w:val="444444"/>
                <w:sz w:val="21"/>
                <w:szCs w:val="21"/>
                <w:highlight w:val="white"/>
              </w:rPr>
              <w:t>experience.</w:t>
            </w:r>
          </w:p>
          <w:p w:rsidR="000500F4" w:rsidRDefault="000500F4">
            <w:pPr>
              <w:widowControl w:val="0"/>
              <w:rPr>
                <w:rFonts w:ascii="Calibri" w:eastAsia="Calibri" w:hAnsi="Calibri" w:cs="Calibri"/>
                <w:b/>
                <w:color w:val="444444"/>
                <w:sz w:val="21"/>
                <w:szCs w:val="21"/>
                <w:highlight w:val="white"/>
              </w:rPr>
            </w:pPr>
          </w:p>
        </w:tc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0500F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500F4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4A2D5B">
            <w:pPr>
              <w:widowControl w:val="0"/>
              <w:rPr>
                <w:rFonts w:ascii="Calibri" w:eastAsia="Calibri" w:hAnsi="Calibri" w:cs="Calibri"/>
                <w:color w:val="44444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1"/>
                <w:szCs w:val="21"/>
                <w:highlight w:val="white"/>
              </w:rPr>
              <w:t>Proposition 5:</w:t>
            </w:r>
            <w:r>
              <w:rPr>
                <w:rFonts w:ascii="Calibri" w:eastAsia="Calibri" w:hAnsi="Calibri" w:cs="Calibri"/>
                <w:color w:val="444444"/>
                <w:sz w:val="21"/>
                <w:szCs w:val="21"/>
                <w:highlight w:val="white"/>
              </w:rPr>
              <w:t xml:space="preserve"> Teachers are members of learning communities.</w:t>
            </w:r>
          </w:p>
          <w:p w:rsidR="000500F4" w:rsidRDefault="000500F4">
            <w:pPr>
              <w:widowControl w:val="0"/>
              <w:rPr>
                <w:rFonts w:ascii="Calibri" w:eastAsia="Calibri" w:hAnsi="Calibri" w:cs="Calibri"/>
                <w:b/>
                <w:color w:val="444444"/>
                <w:sz w:val="21"/>
                <w:szCs w:val="21"/>
                <w:highlight w:val="white"/>
              </w:rPr>
            </w:pPr>
          </w:p>
        </w:tc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0F4" w:rsidRDefault="000500F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0500F4" w:rsidRDefault="000500F4">
      <w:pPr>
        <w:rPr>
          <w:rFonts w:ascii="Calibri" w:eastAsia="Calibri" w:hAnsi="Calibri" w:cs="Calibri"/>
        </w:rPr>
      </w:pPr>
    </w:p>
    <w:sectPr w:rsidR="000500F4">
      <w:foot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5B" w:rsidRDefault="004A2D5B">
      <w:pPr>
        <w:spacing w:line="240" w:lineRule="auto"/>
      </w:pPr>
      <w:r>
        <w:separator/>
      </w:r>
    </w:p>
  </w:endnote>
  <w:endnote w:type="continuationSeparator" w:id="0">
    <w:p w:rsidR="004A2D5B" w:rsidRDefault="004A2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F4" w:rsidRDefault="004A2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Created by NT3, 2017; Revised,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5B" w:rsidRDefault="004A2D5B">
      <w:pPr>
        <w:spacing w:line="240" w:lineRule="auto"/>
      </w:pPr>
      <w:r>
        <w:separator/>
      </w:r>
    </w:p>
  </w:footnote>
  <w:footnote w:type="continuationSeparator" w:id="0">
    <w:p w:rsidR="004A2D5B" w:rsidRDefault="004A2D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F4"/>
    <w:rsid w:val="000500F4"/>
    <w:rsid w:val="004A2D5B"/>
    <w:rsid w:val="00B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06835-75B5-4FAC-B5DC-41917118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Suzanne</dc:creator>
  <cp:lastModifiedBy>Farmer, Suzanne</cp:lastModifiedBy>
  <cp:revision>2</cp:revision>
  <dcterms:created xsi:type="dcterms:W3CDTF">2018-07-05T19:16:00Z</dcterms:created>
  <dcterms:modified xsi:type="dcterms:W3CDTF">2018-07-05T19:16:00Z</dcterms:modified>
</cp:coreProperties>
</file>